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9F02F"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49A0192F" w14:textId="77777777" w:rsidR="00B224CD" w:rsidRPr="00EE12DB" w:rsidRDefault="00B224CD" w:rsidP="00D33B06">
      <w:pPr>
        <w:autoSpaceDE w:val="0"/>
        <w:autoSpaceDN w:val="0"/>
        <w:adjustRightInd w:val="0"/>
        <w:jc w:val="center"/>
        <w:rPr>
          <w:rFonts w:asciiTheme="minorEastAsia" w:hAnsiTheme="minorEastAsia" w:cs="MS-Mincho"/>
          <w:kern w:val="0"/>
          <w:szCs w:val="21"/>
        </w:rPr>
      </w:pPr>
      <w:r w:rsidRPr="00EE12DB">
        <w:rPr>
          <w:rFonts w:asciiTheme="minorEastAsia" w:hAnsiTheme="minorEastAsia" w:cs="MS-Mincho" w:hint="eastAsia"/>
          <w:kern w:val="0"/>
          <w:szCs w:val="21"/>
        </w:rPr>
        <w:t>地域委員会会計処理規程</w:t>
      </w:r>
      <w:r w:rsidR="00CA789A" w:rsidRPr="00EE12DB">
        <w:rPr>
          <w:rFonts w:asciiTheme="minorEastAsia" w:hAnsiTheme="minorEastAsia" w:cs="MS-Mincho" w:hint="eastAsia"/>
          <w:kern w:val="0"/>
          <w:szCs w:val="21"/>
        </w:rPr>
        <w:t>例</w:t>
      </w:r>
    </w:p>
    <w:p w14:paraId="1DF2FF4F" w14:textId="77777777" w:rsidR="00B224CD" w:rsidRPr="00EE12DB" w:rsidRDefault="001B32EE" w:rsidP="00D33B06">
      <w:pPr>
        <w:autoSpaceDE w:val="0"/>
        <w:autoSpaceDN w:val="0"/>
        <w:adjustRightInd w:val="0"/>
        <w:jc w:val="right"/>
        <w:rPr>
          <w:rFonts w:asciiTheme="minorEastAsia" w:hAnsiTheme="minorEastAsia" w:cs="MS-Mincho"/>
          <w:kern w:val="0"/>
          <w:szCs w:val="21"/>
        </w:rPr>
      </w:pPr>
      <w:r w:rsidRPr="00EE12DB">
        <w:rPr>
          <w:rFonts w:asciiTheme="minorEastAsia" w:hAnsiTheme="minorEastAsia" w:cs="MS-Mincho" w:hint="eastAsia"/>
          <w:kern w:val="0"/>
          <w:szCs w:val="21"/>
        </w:rPr>
        <w:t>元号</w:t>
      </w:r>
      <w:r w:rsidR="00B224CD" w:rsidRPr="00EE12DB">
        <w:rPr>
          <w:rFonts w:asciiTheme="minorEastAsia" w:hAnsiTheme="minorEastAsia" w:cs="MS-Mincho" w:hint="eastAsia"/>
          <w:kern w:val="0"/>
          <w:szCs w:val="21"/>
        </w:rPr>
        <w:t>○年○月○日制定</w:t>
      </w:r>
    </w:p>
    <w:p w14:paraId="0E394E5F"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第１章</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総則</w:t>
      </w:r>
    </w:p>
    <w:p w14:paraId="47804FBA"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（目的）</w:t>
      </w:r>
    </w:p>
    <w:p w14:paraId="207F7BC6"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第１条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この規程は、○○地区地域委員会（以下｢</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委員会」という。）の会計の処理に関する基準を確立して、</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委員会の業務の適正、かつ、能率的な運営と予算の適正な実施を図ることを目的とする。</w:t>
      </w:r>
    </w:p>
    <w:p w14:paraId="55BC0F4E"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2AA3FBE7"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（適用範囲）</w:t>
      </w:r>
    </w:p>
    <w:p w14:paraId="4A92BA6A" w14:textId="77777777" w:rsidR="001F5BA8" w:rsidRDefault="00B224CD" w:rsidP="001F5BA8">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第２条</w:t>
      </w:r>
      <w:r w:rsidRPr="00EE12DB">
        <w:rPr>
          <w:rFonts w:asciiTheme="minorEastAsia" w:hAnsiTheme="minorEastAsia" w:cs="MS-Mincho"/>
          <w:kern w:val="0"/>
          <w:szCs w:val="21"/>
        </w:rPr>
        <w:t xml:space="preserve"> </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委員会の会計業務に関しては、</w:t>
      </w:r>
      <w:r w:rsidR="00CA789A" w:rsidRPr="00EE12DB">
        <w:rPr>
          <w:rFonts w:asciiTheme="minorEastAsia" w:hAnsiTheme="minorEastAsia" w:cs="MS-Mincho" w:hint="eastAsia"/>
          <w:kern w:val="0"/>
          <w:szCs w:val="21"/>
        </w:rPr>
        <w:t>水産</w:t>
      </w:r>
      <w:r w:rsidR="00CA789A" w:rsidRPr="00EE12DB">
        <w:rPr>
          <w:rFonts w:asciiTheme="minorEastAsia" w:hAnsiTheme="minorEastAsia" w:cs="MS-Mincho"/>
          <w:kern w:val="0"/>
          <w:szCs w:val="21"/>
        </w:rPr>
        <w:t>関係民間団体事業補助金交付</w:t>
      </w:r>
      <w:r w:rsidR="00D03669">
        <w:rPr>
          <w:rFonts w:asciiTheme="minorEastAsia" w:hAnsiTheme="minorEastAsia" w:cs="MS-Mincho" w:hint="eastAsia"/>
          <w:kern w:val="0"/>
          <w:szCs w:val="21"/>
        </w:rPr>
        <w:t>等</w:t>
      </w:r>
      <w:r w:rsidR="00CA789A" w:rsidRPr="00EE12DB">
        <w:rPr>
          <w:rFonts w:asciiTheme="minorEastAsia" w:hAnsiTheme="minorEastAsia" w:cs="MS-Mincho"/>
          <w:kern w:val="0"/>
          <w:szCs w:val="21"/>
        </w:rPr>
        <w:t>要綱</w:t>
      </w:r>
      <w:r w:rsidR="00CA789A" w:rsidRPr="00EE12DB">
        <w:rPr>
          <w:rFonts w:asciiTheme="minorEastAsia" w:hAnsiTheme="minorEastAsia" w:cs="MS-Mincho" w:hint="eastAsia"/>
          <w:kern w:val="0"/>
          <w:szCs w:val="21"/>
        </w:rPr>
        <w:t>（平成</w:t>
      </w:r>
      <w:r w:rsidR="00D03669">
        <w:rPr>
          <w:rFonts w:asciiTheme="minorEastAsia" w:hAnsiTheme="minorEastAsia" w:cs="MS-Mincho" w:hint="eastAsia"/>
          <w:kern w:val="0"/>
          <w:szCs w:val="21"/>
        </w:rPr>
        <w:t>10</w:t>
      </w:r>
      <w:r w:rsidR="00CA789A" w:rsidRPr="00EE12DB">
        <w:rPr>
          <w:rFonts w:asciiTheme="minorEastAsia" w:hAnsiTheme="minorEastAsia" w:cs="MS-Mincho" w:hint="eastAsia"/>
          <w:kern w:val="0"/>
          <w:szCs w:val="21"/>
        </w:rPr>
        <w:t>年</w:t>
      </w:r>
      <w:r w:rsidR="00D03669">
        <w:rPr>
          <w:rFonts w:asciiTheme="minorEastAsia" w:hAnsiTheme="minorEastAsia" w:cs="MS-Mincho" w:hint="eastAsia"/>
          <w:kern w:val="0"/>
          <w:szCs w:val="21"/>
        </w:rPr>
        <w:t>４</w:t>
      </w:r>
      <w:r w:rsidR="00CA789A" w:rsidRPr="00EE12DB">
        <w:rPr>
          <w:rFonts w:asciiTheme="minorEastAsia" w:hAnsiTheme="minorEastAsia" w:cs="MS-Mincho" w:hint="eastAsia"/>
          <w:kern w:val="0"/>
          <w:szCs w:val="21"/>
        </w:rPr>
        <w:t>月</w:t>
      </w:r>
      <w:r w:rsidR="00D03669">
        <w:rPr>
          <w:rFonts w:asciiTheme="minorEastAsia" w:hAnsiTheme="minorEastAsia" w:cs="MS-Mincho" w:hint="eastAsia"/>
          <w:kern w:val="0"/>
          <w:szCs w:val="21"/>
        </w:rPr>
        <w:t>８</w:t>
      </w:r>
      <w:r w:rsidR="00CA789A" w:rsidRPr="00EE12DB">
        <w:rPr>
          <w:rFonts w:asciiTheme="minorEastAsia" w:hAnsiTheme="minorEastAsia" w:cs="MS-Mincho" w:hint="eastAsia"/>
          <w:kern w:val="0"/>
          <w:szCs w:val="21"/>
        </w:rPr>
        <w:t>日付け</w:t>
      </w:r>
      <w:r w:rsidR="00D03669">
        <w:rPr>
          <w:rFonts w:asciiTheme="minorEastAsia" w:hAnsiTheme="minorEastAsia" w:cs="MS-Mincho" w:hint="eastAsia"/>
          <w:kern w:val="0"/>
          <w:szCs w:val="21"/>
        </w:rPr>
        <w:t>10</w:t>
      </w:r>
      <w:r w:rsidR="00CA789A" w:rsidRPr="00EE12DB">
        <w:rPr>
          <w:rFonts w:asciiTheme="minorEastAsia" w:hAnsiTheme="minorEastAsia" w:cs="MS-Mincho" w:hint="eastAsia"/>
          <w:kern w:val="0"/>
          <w:szCs w:val="21"/>
        </w:rPr>
        <w:t>水港第</w:t>
      </w:r>
      <w:r w:rsidR="00D03669">
        <w:rPr>
          <w:rFonts w:asciiTheme="minorEastAsia" w:hAnsiTheme="minorEastAsia" w:cs="MS-Mincho" w:hint="eastAsia"/>
          <w:kern w:val="0"/>
          <w:szCs w:val="21"/>
        </w:rPr>
        <w:t>945</w:t>
      </w:r>
      <w:r w:rsidR="00CA789A" w:rsidRPr="00EE12DB">
        <w:rPr>
          <w:rFonts w:asciiTheme="minorEastAsia" w:hAnsiTheme="minorEastAsia" w:cs="MS-Mincho" w:hint="eastAsia"/>
          <w:kern w:val="0"/>
          <w:szCs w:val="21"/>
        </w:rPr>
        <w:t>号農林水産事務次官依命</w:t>
      </w:r>
      <w:r w:rsidR="002E1ADA">
        <w:rPr>
          <w:rFonts w:asciiTheme="minorEastAsia" w:hAnsiTheme="minorEastAsia" w:cs="MS-Mincho" w:hint="eastAsia"/>
          <w:kern w:val="0"/>
          <w:szCs w:val="21"/>
        </w:rPr>
        <w:t>通知）、</w:t>
      </w:r>
      <w:r w:rsidR="001F5BA8">
        <w:rPr>
          <w:rFonts w:asciiTheme="minorEastAsia" w:hAnsiTheme="minorEastAsia" w:cs="MS-Mincho" w:hint="eastAsia"/>
          <w:kern w:val="0"/>
          <w:szCs w:val="21"/>
        </w:rPr>
        <w:t>・・・・・・・・・</w:t>
      </w:r>
    </w:p>
    <w:p w14:paraId="70039B37" w14:textId="766D00E1" w:rsidR="00B224CD" w:rsidRPr="00EE12DB" w:rsidRDefault="001F5BA8" w:rsidP="00D832FC">
      <w:pPr>
        <w:autoSpaceDE w:val="0"/>
        <w:autoSpaceDN w:val="0"/>
        <w:adjustRightInd w:val="0"/>
        <w:ind w:leftChars="100" w:left="210"/>
        <w:jc w:val="left"/>
        <w:rPr>
          <w:rFonts w:asciiTheme="minorEastAsia" w:hAnsiTheme="minorEastAsia" w:cs="MS-Mincho"/>
          <w:kern w:val="0"/>
          <w:szCs w:val="21"/>
        </w:rPr>
      </w:pPr>
      <w:r>
        <w:rPr>
          <w:rFonts w:asciiTheme="minorEastAsia" w:hAnsiTheme="minorEastAsia" w:cs="MS-Mincho" w:hint="eastAsia"/>
          <w:kern w:val="0"/>
          <w:szCs w:val="21"/>
        </w:rPr>
        <w:t>・・・・・・・・・・・・・・・・・・・、</w:t>
      </w:r>
      <w:r w:rsidR="00B224CD" w:rsidRPr="00EE12DB">
        <w:rPr>
          <w:rFonts w:asciiTheme="minorEastAsia" w:hAnsiTheme="minorEastAsia" w:cs="MS-Mincho" w:hint="eastAsia"/>
          <w:kern w:val="0"/>
          <w:szCs w:val="21"/>
        </w:rPr>
        <w:t>に定めるもののほか、この規程の定めるところによるものとする｡</w:t>
      </w:r>
    </w:p>
    <w:p w14:paraId="55668610"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59320208"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（会計原則）</w:t>
      </w:r>
    </w:p>
    <w:p w14:paraId="6E84CE29" w14:textId="77777777" w:rsidR="001B32EE"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第３条</w:t>
      </w:r>
      <w:r w:rsidRPr="00EE12DB">
        <w:rPr>
          <w:rFonts w:asciiTheme="minorEastAsia" w:hAnsiTheme="minorEastAsia" w:cs="MS-Mincho"/>
          <w:kern w:val="0"/>
          <w:szCs w:val="21"/>
        </w:rPr>
        <w:t xml:space="preserve"> </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委員会の会計は、次の各号に掲げる原則に適合するものでなければならない｡</w:t>
      </w:r>
    </w:p>
    <w:p w14:paraId="77E5F241" w14:textId="77777777" w:rsidR="001B32EE"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一</w:t>
      </w:r>
      <w:r w:rsidRPr="00EE12DB">
        <w:rPr>
          <w:rFonts w:asciiTheme="minorEastAsia" w:hAnsiTheme="minorEastAsia" w:cs="MS-Mincho"/>
          <w:kern w:val="0"/>
          <w:szCs w:val="21"/>
        </w:rPr>
        <w:t xml:space="preserve"> </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委員会の会計処理に関し、真実な内容を明瞭に表示すること｡</w:t>
      </w:r>
    </w:p>
    <w:p w14:paraId="4B8B8F17" w14:textId="77777777" w:rsidR="001B32EE"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二</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すべての取引について、正確な記帳整理をすること｡</w:t>
      </w:r>
      <w:r w:rsidRPr="00EE12DB">
        <w:rPr>
          <w:rFonts w:asciiTheme="minorEastAsia" w:hAnsiTheme="minorEastAsia" w:cs="MS-Mincho"/>
          <w:kern w:val="0"/>
          <w:szCs w:val="21"/>
        </w:rPr>
        <w:t xml:space="preserve"> </w:t>
      </w:r>
    </w:p>
    <w:p w14:paraId="43FD395A"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三</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会計の処理方法及び手続について、みだりにこれを変更しないこと。</w:t>
      </w:r>
    </w:p>
    <w:p w14:paraId="648DFCEC"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362CD1A9"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（会計区分）</w:t>
      </w:r>
    </w:p>
    <w:p w14:paraId="707417C2" w14:textId="77777777" w:rsidR="001B32EE"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第４条</w:t>
      </w:r>
      <w:r w:rsidRPr="00EE12DB">
        <w:rPr>
          <w:rFonts w:asciiTheme="minorEastAsia" w:hAnsiTheme="minorEastAsia" w:cs="MS-Mincho"/>
          <w:kern w:val="0"/>
          <w:szCs w:val="21"/>
        </w:rPr>
        <w:t xml:space="preserve"> </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委員会の会計区分は、次の各号に掲げるとおりとし、それぞれ区分して経理する｡</w:t>
      </w:r>
      <w:r w:rsidRPr="00EE12DB">
        <w:rPr>
          <w:rFonts w:asciiTheme="minorEastAsia" w:hAnsiTheme="minorEastAsia" w:cs="MS-Mincho"/>
          <w:kern w:val="0"/>
          <w:szCs w:val="21"/>
        </w:rPr>
        <w:t xml:space="preserve"> </w:t>
      </w:r>
    </w:p>
    <w:p w14:paraId="30C065BD" w14:textId="7A95740E"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一</w:t>
      </w:r>
      <w:r w:rsidRPr="00EE12DB">
        <w:rPr>
          <w:rFonts w:asciiTheme="minorEastAsia" w:hAnsiTheme="minorEastAsia" w:cs="MS-Mincho"/>
          <w:kern w:val="0"/>
          <w:szCs w:val="21"/>
        </w:rPr>
        <w:t xml:space="preserve"> </w:t>
      </w:r>
      <w:r w:rsidR="007A00C1" w:rsidRPr="00EE12DB">
        <w:rPr>
          <w:rFonts w:asciiTheme="minorEastAsia" w:hAnsiTheme="minorEastAsia" w:cs="MS-Mincho" w:hint="eastAsia"/>
          <w:kern w:val="0"/>
          <w:szCs w:val="21"/>
        </w:rPr>
        <w:t>○○会計</w:t>
      </w:r>
    </w:p>
    <w:p w14:paraId="600BCBAA"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二</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○○会計</w:t>
      </w:r>
    </w:p>
    <w:p w14:paraId="3F9127F4" w14:textId="77777777" w:rsidR="001B32EE"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２</w:t>
      </w:r>
      <w:r w:rsidRPr="00EE12DB">
        <w:rPr>
          <w:rFonts w:asciiTheme="minorEastAsia" w:hAnsiTheme="minorEastAsia" w:cs="MS-Mincho"/>
          <w:kern w:val="0"/>
          <w:szCs w:val="21"/>
        </w:rPr>
        <w:t xml:space="preserve"> </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委員会の業務遂行上必要のある場合は、前項の会計と区分して特別会計を設けることができるものとする｡</w:t>
      </w:r>
    </w:p>
    <w:p w14:paraId="3EB68465" w14:textId="77777777" w:rsidR="001B32EE" w:rsidRPr="00EE12DB" w:rsidRDefault="001B32EE" w:rsidP="001B32EE">
      <w:pPr>
        <w:autoSpaceDE w:val="0"/>
        <w:autoSpaceDN w:val="0"/>
        <w:adjustRightInd w:val="0"/>
        <w:ind w:left="210" w:hangingChars="100" w:hanging="210"/>
        <w:jc w:val="left"/>
        <w:rPr>
          <w:rFonts w:asciiTheme="minorEastAsia" w:hAnsiTheme="minorEastAsia" w:cs="MS-Mincho"/>
          <w:kern w:val="0"/>
          <w:szCs w:val="21"/>
        </w:rPr>
      </w:pPr>
    </w:p>
    <w:p w14:paraId="7B01FED7"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（口座の開設）</w:t>
      </w:r>
    </w:p>
    <w:p w14:paraId="169A6A61" w14:textId="77777777" w:rsidR="001B32EE"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第５条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前条に関する口座は、○○に開設するものとする｡</w:t>
      </w:r>
    </w:p>
    <w:p w14:paraId="3CEFD0D9" w14:textId="77777777" w:rsidR="00CA789A" w:rsidRPr="00EE12DB" w:rsidRDefault="00CA789A" w:rsidP="00B224CD">
      <w:pPr>
        <w:autoSpaceDE w:val="0"/>
        <w:autoSpaceDN w:val="0"/>
        <w:adjustRightInd w:val="0"/>
        <w:jc w:val="left"/>
        <w:rPr>
          <w:rFonts w:asciiTheme="minorEastAsia" w:hAnsiTheme="minorEastAsia" w:cs="MS-Mincho"/>
          <w:kern w:val="0"/>
          <w:szCs w:val="21"/>
        </w:rPr>
      </w:pPr>
    </w:p>
    <w:p w14:paraId="572BE4DB"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（会計年度）</w:t>
      </w:r>
    </w:p>
    <w:p w14:paraId="49F77F19"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第６条</w:t>
      </w:r>
      <w:r w:rsidRPr="00EE12DB">
        <w:rPr>
          <w:rFonts w:asciiTheme="minorEastAsia" w:hAnsiTheme="minorEastAsia" w:cs="MS-Mincho"/>
          <w:kern w:val="0"/>
          <w:szCs w:val="21"/>
        </w:rPr>
        <w:t xml:space="preserve"> </w:t>
      </w:r>
      <w:r w:rsidR="001B32EE" w:rsidRPr="00EE12DB">
        <w:rPr>
          <w:rFonts w:asciiTheme="minorEastAsia" w:hAnsiTheme="minorEastAsia" w:cs="MS-Mincho" w:hint="eastAsia"/>
          <w:kern w:val="0"/>
          <w:szCs w:val="21"/>
        </w:rPr>
        <w:t>地域</w:t>
      </w:r>
      <w:r w:rsidR="00CA5E80" w:rsidRPr="00EE12DB">
        <w:rPr>
          <w:rFonts w:asciiTheme="minorEastAsia" w:hAnsiTheme="minorEastAsia" w:cs="MS-Mincho" w:hint="eastAsia"/>
          <w:kern w:val="0"/>
          <w:szCs w:val="21"/>
        </w:rPr>
        <w:t>委員会の会計年度は、</w:t>
      </w:r>
      <w:r w:rsidRPr="00EE12DB">
        <w:rPr>
          <w:rFonts w:asciiTheme="minorEastAsia" w:hAnsiTheme="minorEastAsia" w:cs="MS-Mincho" w:hint="eastAsia"/>
          <w:kern w:val="0"/>
          <w:szCs w:val="21"/>
        </w:rPr>
        <w:t>規約に定める事業年度に従い毎年４月１日から翌年３月</w:t>
      </w:r>
      <w:r w:rsidRPr="00EE12DB">
        <w:rPr>
          <w:rFonts w:asciiTheme="minorEastAsia" w:hAnsiTheme="minorEastAsia" w:cs="MS-Mincho"/>
          <w:kern w:val="0"/>
          <w:szCs w:val="21"/>
        </w:rPr>
        <w:t xml:space="preserve">31 </w:t>
      </w:r>
      <w:r w:rsidRPr="00EE12DB">
        <w:rPr>
          <w:rFonts w:asciiTheme="minorEastAsia" w:hAnsiTheme="minorEastAsia" w:cs="MS-Mincho" w:hint="eastAsia"/>
          <w:kern w:val="0"/>
          <w:szCs w:val="21"/>
        </w:rPr>
        <w:t>日までとする｡ただし、</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委員会が設立された当初の会計年度については、設立会員会議の日から翌年の３月</w:t>
      </w:r>
      <w:r w:rsidRPr="00EE12DB">
        <w:rPr>
          <w:rFonts w:asciiTheme="minorEastAsia" w:hAnsiTheme="minorEastAsia" w:cs="MS-Mincho"/>
          <w:kern w:val="0"/>
          <w:szCs w:val="21"/>
        </w:rPr>
        <w:t xml:space="preserve">31 </w:t>
      </w:r>
      <w:r w:rsidRPr="00EE12DB">
        <w:rPr>
          <w:rFonts w:asciiTheme="minorEastAsia" w:hAnsiTheme="minorEastAsia" w:cs="MS-Mincho" w:hint="eastAsia"/>
          <w:kern w:val="0"/>
          <w:szCs w:val="21"/>
        </w:rPr>
        <w:t>日までとする。</w:t>
      </w:r>
    </w:p>
    <w:p w14:paraId="36D3BE3F"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lastRenderedPageBreak/>
        <w:t>２</w:t>
      </w:r>
      <w:r w:rsidRPr="00EE12DB">
        <w:rPr>
          <w:rFonts w:asciiTheme="minorEastAsia" w:hAnsiTheme="minorEastAsia" w:cs="MS-Mincho"/>
          <w:kern w:val="0"/>
          <w:szCs w:val="21"/>
        </w:rPr>
        <w:t xml:space="preserve"> </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委員会の出納は、翌年度の４月</w:t>
      </w:r>
      <w:r w:rsidRPr="00EE12DB">
        <w:rPr>
          <w:rFonts w:asciiTheme="minorEastAsia" w:hAnsiTheme="minorEastAsia" w:cs="MS-Mincho"/>
          <w:kern w:val="0"/>
          <w:szCs w:val="21"/>
        </w:rPr>
        <w:t xml:space="preserve">30 </w:t>
      </w:r>
      <w:r w:rsidRPr="00EE12DB">
        <w:rPr>
          <w:rFonts w:asciiTheme="minorEastAsia" w:hAnsiTheme="minorEastAsia" w:cs="MS-Mincho" w:hint="eastAsia"/>
          <w:kern w:val="0"/>
          <w:szCs w:val="21"/>
        </w:rPr>
        <w:t>日をもって閉鎖する。</w:t>
      </w:r>
    </w:p>
    <w:p w14:paraId="74363A65"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5F6B27C8"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（出納責任者）</w:t>
      </w:r>
    </w:p>
    <w:p w14:paraId="2CE1FD7F"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第７条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出納責任者は、会長とする｡</w:t>
      </w:r>
    </w:p>
    <w:p w14:paraId="74C6C2CE"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082C5898"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（経理責任者）</w:t>
      </w:r>
    </w:p>
    <w:p w14:paraId="284F6728"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第８条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経理責任者を置くことし、経理責任者は、文書管理責任者を兼務することができる｡</w:t>
      </w:r>
    </w:p>
    <w:p w14:paraId="09353C41"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5A555178"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（帳簿書類の保存及び処分）</w:t>
      </w:r>
    </w:p>
    <w:p w14:paraId="162349DB"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第９条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会計帳簿、会計伝票その他の書類の保存期間は、次の各号に掲げるものとする。</w:t>
      </w:r>
    </w:p>
    <w:p w14:paraId="62D50131"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一</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予算及び決算書類</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○年</w:t>
      </w:r>
    </w:p>
    <w:p w14:paraId="209B9C34"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二</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会計帳簿及び会計伝票</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○年</w:t>
      </w:r>
    </w:p>
    <w:p w14:paraId="0CC443D8" w14:textId="77777777" w:rsidR="00B224CD" w:rsidRPr="00EE12DB" w:rsidRDefault="00B224CD" w:rsidP="001B32EE">
      <w:pPr>
        <w:autoSpaceDE w:val="0"/>
        <w:autoSpaceDN w:val="0"/>
        <w:adjustRightInd w:val="0"/>
        <w:ind w:leftChars="100" w:left="210"/>
        <w:jc w:val="left"/>
        <w:rPr>
          <w:rFonts w:asciiTheme="minorEastAsia" w:hAnsiTheme="minorEastAsia" w:cs="MS-Mincho"/>
          <w:kern w:val="0"/>
          <w:szCs w:val="21"/>
        </w:rPr>
      </w:pPr>
      <w:r w:rsidRPr="00EE12DB">
        <w:rPr>
          <w:rFonts w:asciiTheme="minorEastAsia" w:hAnsiTheme="minorEastAsia" w:cs="MS-Mincho" w:hint="eastAsia"/>
          <w:kern w:val="0"/>
          <w:szCs w:val="21"/>
        </w:rPr>
        <w:t>三</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証</w:t>
      </w:r>
      <w:proofErr w:type="gramStart"/>
      <w:r w:rsidRPr="00EE12DB">
        <w:rPr>
          <w:rFonts w:asciiTheme="minorEastAsia" w:hAnsiTheme="minorEastAsia" w:cs="MS-Mincho" w:hint="eastAsia"/>
          <w:kern w:val="0"/>
          <w:szCs w:val="21"/>
        </w:rPr>
        <w:t>ひょう</w:t>
      </w:r>
      <w:proofErr w:type="gramEnd"/>
      <w:r w:rsidRPr="00EE12DB">
        <w:rPr>
          <w:rFonts w:asciiTheme="minorEastAsia" w:hAnsiTheme="minorEastAsia" w:cs="MS-Mincho" w:hint="eastAsia"/>
          <w:kern w:val="0"/>
          <w:szCs w:val="21"/>
        </w:rPr>
        <w:t>（領収書その他会計伝票の正当性を立証する書類をいう。以下同じ。）○年</w:t>
      </w:r>
    </w:p>
    <w:p w14:paraId="606B7DD9"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四</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その他の書類</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○年</w:t>
      </w:r>
    </w:p>
    <w:p w14:paraId="16C7D982"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（備考）</w:t>
      </w:r>
    </w:p>
    <w:p w14:paraId="0BF00461"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１</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第１項は、文書等の標準的な保存分類等を参考に規定する。ただし、５年を下回ることはできない。</w:t>
      </w:r>
    </w:p>
    <w:p w14:paraId="11E4C0E7"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２</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前項各号の保存期間は、決算完結の日から起算する｡</w:t>
      </w:r>
    </w:p>
    <w:p w14:paraId="0FC91239"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３</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第１項各号に掲げる会計帳簿、会計伝票その他の書類を廃棄する場合には、あらかじめ、第８条第１項の経理責任者の指示又は承認を受けるものとする｡</w:t>
      </w:r>
    </w:p>
    <w:p w14:paraId="2FCCBFF1"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４</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前項において個人情報が記録されている会計帳簿、会計伝票その他の書類を廃棄する場合には、裁断、焼却その他復元不可能な方法により廃棄しなければならない。</w:t>
      </w:r>
    </w:p>
    <w:p w14:paraId="5CEC52F8"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7137ECCD"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第２章</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勘定科目及び会計帳簿類</w:t>
      </w:r>
    </w:p>
    <w:p w14:paraId="09846638"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（勘定科目）</w:t>
      </w:r>
    </w:p>
    <w:p w14:paraId="37521BA1"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00CA789A" w:rsidRPr="00EE12DB">
        <w:rPr>
          <w:rFonts w:asciiTheme="minorEastAsia" w:hAnsiTheme="minorEastAsia" w:cs="MS-Mincho"/>
          <w:kern w:val="0"/>
          <w:szCs w:val="21"/>
        </w:rPr>
        <w:t>10</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収入及び支出の状況及び財政状態を的確に把握するため必要な勘定科目を設ける｡</w:t>
      </w:r>
    </w:p>
    <w:p w14:paraId="63FACC8C" w14:textId="77777777" w:rsidR="001B32EE"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２</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各勘定科目の名称、配列及び内容については、会長が別に定める｡</w:t>
      </w:r>
    </w:p>
    <w:p w14:paraId="278607A1"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5BDF6D20"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（勘定処理の原則）</w:t>
      </w:r>
    </w:p>
    <w:p w14:paraId="256A42F6"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00CA789A" w:rsidRPr="00EE12DB">
        <w:rPr>
          <w:rFonts w:asciiTheme="minorEastAsia" w:hAnsiTheme="minorEastAsia" w:cs="MS-Mincho"/>
          <w:kern w:val="0"/>
          <w:szCs w:val="21"/>
        </w:rPr>
        <w:t>11</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勘定処理を行うに当たっては、次の各号に掲げる原則に留意しなければならない。</w:t>
      </w:r>
    </w:p>
    <w:p w14:paraId="7897A524" w14:textId="77777777" w:rsidR="00E77DC0"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一</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すべての収入及び支出は、予算に基づいて処理すること｡</w:t>
      </w:r>
    </w:p>
    <w:p w14:paraId="6CA744BF"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二</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収入と支出は、相殺してはならないこと。</w:t>
      </w:r>
    </w:p>
    <w:p w14:paraId="6805382A"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三</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その他一般に公正妥当と認められた会計処理の基準に準拠して行うこと。</w:t>
      </w:r>
    </w:p>
    <w:p w14:paraId="2B4888F0"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18BA2553"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（会計帳簿）</w:t>
      </w:r>
    </w:p>
    <w:p w14:paraId="3836953A" w14:textId="77777777" w:rsidR="001B32EE"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Pr="00EE12DB">
        <w:rPr>
          <w:rFonts w:asciiTheme="minorEastAsia" w:hAnsiTheme="minorEastAsia" w:cs="MS-Mincho"/>
          <w:kern w:val="0"/>
          <w:szCs w:val="21"/>
        </w:rPr>
        <w:t>12</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会計帳簿は、次の各号に掲げるものとする｡</w:t>
      </w:r>
      <w:r w:rsidRPr="00EE12DB">
        <w:rPr>
          <w:rFonts w:asciiTheme="minorEastAsia" w:hAnsiTheme="minorEastAsia" w:cs="MS-Mincho"/>
          <w:kern w:val="0"/>
          <w:szCs w:val="21"/>
        </w:rPr>
        <w:t xml:space="preserve"> </w:t>
      </w:r>
    </w:p>
    <w:p w14:paraId="2107B521"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一</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主要簿</w:t>
      </w:r>
    </w:p>
    <w:p w14:paraId="3FBC6B69" w14:textId="77777777" w:rsidR="00B224CD" w:rsidRPr="00EE12DB" w:rsidRDefault="00B224CD" w:rsidP="001B32EE">
      <w:pPr>
        <w:autoSpaceDE w:val="0"/>
        <w:autoSpaceDN w:val="0"/>
        <w:adjustRightInd w:val="0"/>
        <w:ind w:firstLineChars="200" w:firstLine="420"/>
        <w:jc w:val="left"/>
        <w:rPr>
          <w:rFonts w:asciiTheme="minorEastAsia" w:hAnsiTheme="minorEastAsia" w:cs="MS-Mincho"/>
          <w:kern w:val="0"/>
          <w:szCs w:val="21"/>
        </w:rPr>
      </w:pPr>
      <w:r w:rsidRPr="00EE12DB">
        <w:rPr>
          <w:rFonts w:asciiTheme="minorEastAsia" w:hAnsiTheme="minorEastAsia" w:cs="MS-Mincho" w:hint="eastAsia"/>
          <w:kern w:val="0"/>
          <w:szCs w:val="21"/>
        </w:rPr>
        <w:t>①</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仕訳帳</w:t>
      </w:r>
    </w:p>
    <w:p w14:paraId="3A716C5E" w14:textId="77777777" w:rsidR="00B224CD" w:rsidRPr="00EE12DB" w:rsidRDefault="00B224CD" w:rsidP="001B32EE">
      <w:pPr>
        <w:autoSpaceDE w:val="0"/>
        <w:autoSpaceDN w:val="0"/>
        <w:adjustRightInd w:val="0"/>
        <w:ind w:firstLineChars="200" w:firstLine="420"/>
        <w:jc w:val="left"/>
        <w:rPr>
          <w:rFonts w:asciiTheme="minorEastAsia" w:hAnsiTheme="minorEastAsia" w:cs="MS-Mincho"/>
          <w:kern w:val="0"/>
          <w:szCs w:val="21"/>
        </w:rPr>
      </w:pPr>
      <w:r w:rsidRPr="00EE12DB">
        <w:rPr>
          <w:rFonts w:asciiTheme="minorEastAsia" w:hAnsiTheme="minorEastAsia" w:cs="MS-Mincho" w:hint="eastAsia"/>
          <w:kern w:val="0"/>
          <w:szCs w:val="21"/>
        </w:rPr>
        <w:t>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総勘定元帳</w:t>
      </w:r>
    </w:p>
    <w:p w14:paraId="2C572818"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二</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補助簿</w:t>
      </w:r>
    </w:p>
    <w:p w14:paraId="26A9E14F" w14:textId="77777777" w:rsidR="001B32EE"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２</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仕訳帳は、会計伝票をもってこれに代えることができる｡</w:t>
      </w:r>
      <w:r w:rsidRPr="00EE12DB">
        <w:rPr>
          <w:rFonts w:asciiTheme="minorEastAsia" w:hAnsiTheme="minorEastAsia" w:cs="MS-Mincho"/>
          <w:kern w:val="0"/>
          <w:szCs w:val="21"/>
        </w:rPr>
        <w:t xml:space="preserve"> </w:t>
      </w:r>
    </w:p>
    <w:p w14:paraId="5E355D34"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３</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補助簿は、これを必要とする勘定科目について備え、会計伝票及び総勘定元帳と有機的関連のもとに作成しなければならない。</w:t>
      </w:r>
    </w:p>
    <w:p w14:paraId="404574FF" w14:textId="77777777" w:rsidR="001B32EE"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４</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総勘定元帳及び補助簿の様式は会長が別に定める｡</w:t>
      </w:r>
    </w:p>
    <w:p w14:paraId="43A64410"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5C8DE317"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（会計伝票）</w:t>
      </w:r>
    </w:p>
    <w:p w14:paraId="4A4DDBEC" w14:textId="77777777" w:rsidR="001B32EE"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Pr="00EE12DB">
        <w:rPr>
          <w:rFonts w:asciiTheme="minorEastAsia" w:hAnsiTheme="minorEastAsia" w:cs="MS-Mincho"/>
          <w:kern w:val="0"/>
          <w:szCs w:val="21"/>
        </w:rPr>
        <w:t>13</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一切の取引に関する記帳整理は、会計伝票により行うものとする｡</w:t>
      </w:r>
    </w:p>
    <w:p w14:paraId="27FABC29" w14:textId="77777777" w:rsidR="00E77DC0"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２</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会計伝票は、次の各号に掲げるものとし、その様式は、会長が別に定める｡</w:t>
      </w:r>
    </w:p>
    <w:p w14:paraId="5911390D"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一</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入金伝票</w:t>
      </w:r>
    </w:p>
    <w:p w14:paraId="04C67E7E"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二</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出金伝票</w:t>
      </w:r>
    </w:p>
    <w:p w14:paraId="4DEF6849"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三</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振替伝票</w:t>
      </w:r>
    </w:p>
    <w:p w14:paraId="7480A16B" w14:textId="77777777" w:rsidR="001B32EE"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３</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会計伝票は、証</w:t>
      </w:r>
      <w:proofErr w:type="gramStart"/>
      <w:r w:rsidRPr="00EE12DB">
        <w:rPr>
          <w:rFonts w:asciiTheme="minorEastAsia" w:hAnsiTheme="minorEastAsia" w:cs="MS-Mincho" w:hint="eastAsia"/>
          <w:kern w:val="0"/>
          <w:szCs w:val="21"/>
        </w:rPr>
        <w:t>ひょうに</w:t>
      </w:r>
      <w:proofErr w:type="gramEnd"/>
      <w:r w:rsidRPr="00EE12DB">
        <w:rPr>
          <w:rFonts w:asciiTheme="minorEastAsia" w:hAnsiTheme="minorEastAsia" w:cs="MS-Mincho" w:hint="eastAsia"/>
          <w:kern w:val="0"/>
          <w:szCs w:val="21"/>
        </w:rPr>
        <w:t>基づいて作成し、証</w:t>
      </w:r>
      <w:proofErr w:type="gramStart"/>
      <w:r w:rsidRPr="00EE12DB">
        <w:rPr>
          <w:rFonts w:asciiTheme="minorEastAsia" w:hAnsiTheme="minorEastAsia" w:cs="MS-Mincho" w:hint="eastAsia"/>
          <w:kern w:val="0"/>
          <w:szCs w:val="21"/>
        </w:rPr>
        <w:t>ひょうと</w:t>
      </w:r>
      <w:proofErr w:type="gramEnd"/>
      <w:r w:rsidRPr="00EE12DB">
        <w:rPr>
          <w:rFonts w:asciiTheme="minorEastAsia" w:hAnsiTheme="minorEastAsia" w:cs="MS-Mincho" w:hint="eastAsia"/>
          <w:kern w:val="0"/>
          <w:szCs w:val="21"/>
        </w:rPr>
        <w:t>ともに保存する｡</w:t>
      </w:r>
      <w:r w:rsidRPr="00EE12DB">
        <w:rPr>
          <w:rFonts w:asciiTheme="minorEastAsia" w:hAnsiTheme="minorEastAsia" w:cs="MS-Mincho"/>
          <w:kern w:val="0"/>
          <w:szCs w:val="21"/>
        </w:rPr>
        <w:t xml:space="preserve"> </w:t>
      </w:r>
    </w:p>
    <w:p w14:paraId="05BD6B1A" w14:textId="77777777" w:rsidR="001B32EE"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４</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会計伝票は、作成者が押印した上で、第８条第１項の経理責任者の承認印を受けるものとする｡</w:t>
      </w:r>
    </w:p>
    <w:p w14:paraId="4EC28735" w14:textId="77777777" w:rsidR="00CA789A" w:rsidRPr="00EE12DB" w:rsidRDefault="00CA789A" w:rsidP="001B32EE">
      <w:pPr>
        <w:autoSpaceDE w:val="0"/>
        <w:autoSpaceDN w:val="0"/>
        <w:adjustRightInd w:val="0"/>
        <w:ind w:left="210" w:hangingChars="100" w:hanging="210"/>
        <w:jc w:val="left"/>
        <w:rPr>
          <w:rFonts w:asciiTheme="minorEastAsia" w:hAnsiTheme="minorEastAsia" w:cs="MS-Mincho"/>
          <w:kern w:val="0"/>
          <w:szCs w:val="21"/>
        </w:rPr>
      </w:pPr>
    </w:p>
    <w:p w14:paraId="17C9D007"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（記帳）</w:t>
      </w:r>
    </w:p>
    <w:p w14:paraId="343E52DE"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Pr="00EE12DB">
        <w:rPr>
          <w:rFonts w:asciiTheme="minorEastAsia" w:hAnsiTheme="minorEastAsia" w:cs="MS-Mincho"/>
          <w:kern w:val="0"/>
          <w:szCs w:val="21"/>
        </w:rPr>
        <w:t>14</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総勘定元帳は、すべて会計伝票に基づいて記帳しなければならない。</w:t>
      </w:r>
    </w:p>
    <w:p w14:paraId="55FDDC93" w14:textId="77777777" w:rsidR="001B32EE"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２</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補助簿は、会計伝票又は証</w:t>
      </w:r>
      <w:proofErr w:type="gramStart"/>
      <w:r w:rsidRPr="00EE12DB">
        <w:rPr>
          <w:rFonts w:asciiTheme="minorEastAsia" w:hAnsiTheme="minorEastAsia" w:cs="MS-Mincho" w:hint="eastAsia"/>
          <w:kern w:val="0"/>
          <w:szCs w:val="21"/>
        </w:rPr>
        <w:t>ひょうに</w:t>
      </w:r>
      <w:proofErr w:type="gramEnd"/>
      <w:r w:rsidRPr="00EE12DB">
        <w:rPr>
          <w:rFonts w:asciiTheme="minorEastAsia" w:hAnsiTheme="minorEastAsia" w:cs="MS-Mincho" w:hint="eastAsia"/>
          <w:kern w:val="0"/>
          <w:szCs w:val="21"/>
        </w:rPr>
        <w:t>基づいて記帳しなければならない｡</w:t>
      </w:r>
    </w:p>
    <w:p w14:paraId="0703C9A6"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375B9B67"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（会計帳簿の更新）</w:t>
      </w:r>
    </w:p>
    <w:p w14:paraId="50659DCD"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Pr="00EE12DB">
        <w:rPr>
          <w:rFonts w:asciiTheme="minorEastAsia" w:hAnsiTheme="minorEastAsia" w:cs="MS-Mincho"/>
          <w:kern w:val="0"/>
          <w:szCs w:val="21"/>
        </w:rPr>
        <w:t>15</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会計帳簿は、原則として会計年度ごとに更新する。</w:t>
      </w:r>
    </w:p>
    <w:p w14:paraId="6563A414"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3A9A6E9B"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第３章</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予算</w:t>
      </w:r>
    </w:p>
    <w:p w14:paraId="5191F3E5"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（予算の目的）</w:t>
      </w:r>
    </w:p>
    <w:p w14:paraId="67466BE2" w14:textId="77777777" w:rsidR="001B32EE"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Pr="00EE12DB">
        <w:rPr>
          <w:rFonts w:asciiTheme="minorEastAsia" w:hAnsiTheme="minorEastAsia" w:cs="MS-Mincho"/>
          <w:kern w:val="0"/>
          <w:szCs w:val="21"/>
        </w:rPr>
        <w:t>16</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予算は、会計年度の事業活動を明確な計数でもって表示することにより収支の合理的規制を行い、事業の円滑適正な運営を図ることを目的とする｡</w:t>
      </w:r>
    </w:p>
    <w:p w14:paraId="13A5B930"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（年度事業計画及び収支予算の作成）</w:t>
      </w:r>
    </w:p>
    <w:p w14:paraId="57BE121F"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Pr="00EE12DB">
        <w:rPr>
          <w:rFonts w:asciiTheme="minorEastAsia" w:hAnsiTheme="minorEastAsia" w:cs="MS-Mincho"/>
          <w:kern w:val="0"/>
          <w:szCs w:val="21"/>
        </w:rPr>
        <w:t>17</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年度事業計画及び収支予算は、会計区分ごとに作成し、担当者会の承認を得た後、会員会議の議決を得てこれを定める。</w:t>
      </w:r>
    </w:p>
    <w:p w14:paraId="31CA0521"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2E33A2F9"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（予算の実施）</w:t>
      </w:r>
    </w:p>
    <w:p w14:paraId="0DFFF816" w14:textId="77777777" w:rsidR="001B32EE"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Pr="00EE12DB">
        <w:rPr>
          <w:rFonts w:asciiTheme="minorEastAsia" w:hAnsiTheme="minorEastAsia" w:cs="MS-Mincho"/>
          <w:kern w:val="0"/>
          <w:szCs w:val="21"/>
        </w:rPr>
        <w:t>18</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予算の執行者は、会長とする｡</w:t>
      </w:r>
      <w:r w:rsidRPr="00EE12DB">
        <w:rPr>
          <w:rFonts w:asciiTheme="minorEastAsia" w:hAnsiTheme="minorEastAsia" w:cs="MS-Mincho"/>
          <w:kern w:val="0"/>
          <w:szCs w:val="21"/>
        </w:rPr>
        <w:t xml:space="preserve"> </w:t>
      </w:r>
    </w:p>
    <w:p w14:paraId="2FDD1E5D"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50E29C5E"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（予算の流用）</w:t>
      </w:r>
    </w:p>
    <w:p w14:paraId="2095A009" w14:textId="77777777" w:rsidR="001B32EE"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Pr="00EE12DB">
        <w:rPr>
          <w:rFonts w:asciiTheme="minorEastAsia" w:hAnsiTheme="minorEastAsia" w:cs="MS-Mincho"/>
          <w:kern w:val="0"/>
          <w:szCs w:val="21"/>
        </w:rPr>
        <w:t>19</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予算は、定められた目的以外に使用し、又は流用してはならない｡</w:t>
      </w:r>
    </w:p>
    <w:p w14:paraId="2729439A"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7513259C"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第４章</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出納</w:t>
      </w:r>
    </w:p>
    <w:p w14:paraId="7A96DA7D"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（金銭の範囲）</w:t>
      </w:r>
    </w:p>
    <w:p w14:paraId="0848E154"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Pr="00EE12DB">
        <w:rPr>
          <w:rFonts w:asciiTheme="minorEastAsia" w:hAnsiTheme="minorEastAsia" w:cs="MS-Mincho"/>
          <w:kern w:val="0"/>
          <w:szCs w:val="21"/>
        </w:rPr>
        <w:t>20</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この規程において、｢金銭｣とは現金及び預貯金をいい、｢現金」とは通貨のほか、郵便為替証書、為替貯金証書及び官公署の支払通知書をいう｡</w:t>
      </w:r>
    </w:p>
    <w:p w14:paraId="6EF906FD"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628E0FF2"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（金銭出納の明確化）</w:t>
      </w:r>
    </w:p>
    <w:p w14:paraId="7F069073" w14:textId="77777777" w:rsidR="001B32EE"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Pr="00EE12DB">
        <w:rPr>
          <w:rFonts w:asciiTheme="minorEastAsia" w:hAnsiTheme="minorEastAsia" w:cs="MS-Mincho"/>
          <w:kern w:val="0"/>
          <w:szCs w:val="21"/>
        </w:rPr>
        <w:t>21</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出納の事務を行う者は、金銭の出納及び保管を厳正かつ確実に行い、日々の出納を記録し、常に金銭の残高を明確にしなければならない｡</w:t>
      </w:r>
      <w:r w:rsidRPr="00EE12DB">
        <w:rPr>
          <w:rFonts w:asciiTheme="minorEastAsia" w:hAnsiTheme="minorEastAsia" w:cs="MS-Mincho"/>
          <w:kern w:val="0"/>
          <w:szCs w:val="21"/>
        </w:rPr>
        <w:t xml:space="preserve"> </w:t>
      </w:r>
    </w:p>
    <w:p w14:paraId="39E08E4E" w14:textId="77777777" w:rsidR="001B32EE"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２</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金銭の出納は、会計伝票によって行わなければならない｡</w:t>
      </w:r>
    </w:p>
    <w:p w14:paraId="76C009FE"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404C564D"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（金銭の収納）</w:t>
      </w:r>
    </w:p>
    <w:p w14:paraId="4B9799B8" w14:textId="77777777" w:rsidR="001B32EE"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Pr="00EE12DB">
        <w:rPr>
          <w:rFonts w:asciiTheme="minorEastAsia" w:hAnsiTheme="minorEastAsia" w:cs="MS-Mincho"/>
          <w:kern w:val="0"/>
          <w:szCs w:val="21"/>
        </w:rPr>
        <w:t>22</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金銭を収納したときは、会長が別に定める様式の領収証を発行しなければならない｡</w:t>
      </w:r>
      <w:r w:rsidRPr="00EE12DB">
        <w:rPr>
          <w:rFonts w:asciiTheme="minorEastAsia" w:hAnsiTheme="minorEastAsia" w:cs="MS-Mincho"/>
          <w:kern w:val="0"/>
          <w:szCs w:val="21"/>
        </w:rPr>
        <w:t xml:space="preserve"> </w:t>
      </w:r>
    </w:p>
    <w:p w14:paraId="11F10834" w14:textId="77777777" w:rsidR="001B32EE"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２</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入金先の要求その他の事由より、前項の様式によらない領収証を発行する必要があるときは、第８条第１項の経理責任者の承認を得てこれを行う｡</w:t>
      </w:r>
      <w:r w:rsidRPr="00EE12DB">
        <w:rPr>
          <w:rFonts w:asciiTheme="minorEastAsia" w:hAnsiTheme="minorEastAsia" w:cs="MS-Mincho"/>
          <w:kern w:val="0"/>
          <w:szCs w:val="21"/>
        </w:rPr>
        <w:t xml:space="preserve"> </w:t>
      </w:r>
    </w:p>
    <w:p w14:paraId="66D47CFE" w14:textId="77777777" w:rsidR="001B32EE"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３</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金融機関への振込の方法により入金する場合は、入金先の要求がある場合のほか、領収証を発行しないものとする｡</w:t>
      </w:r>
    </w:p>
    <w:p w14:paraId="00CC0EC5"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2F5F3DA9"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（支払方法）</w:t>
      </w:r>
    </w:p>
    <w:p w14:paraId="73CD48AB" w14:textId="77777777" w:rsidR="001B32EE"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Pr="00EE12DB">
        <w:rPr>
          <w:rFonts w:asciiTheme="minorEastAsia" w:hAnsiTheme="minorEastAsia" w:cs="MS-Mincho"/>
          <w:kern w:val="0"/>
          <w:szCs w:val="21"/>
        </w:rPr>
        <w:t>23</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出納の事務を行う者が金銭を支払う場合には、最終受取人からの請求書その他取引を証する書類に基づき、第８条第１項の経理責任者の承認を得て行うものとする｡</w:t>
      </w:r>
      <w:r w:rsidRPr="00EE12DB">
        <w:rPr>
          <w:rFonts w:asciiTheme="minorEastAsia" w:hAnsiTheme="minorEastAsia" w:cs="MS-Mincho"/>
          <w:kern w:val="0"/>
          <w:szCs w:val="21"/>
        </w:rPr>
        <w:t xml:space="preserve"> </w:t>
      </w:r>
    </w:p>
    <w:p w14:paraId="2569D061"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２</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支払は、金融機関への振込により行うものとする。ただし、小口払その他これによりがたい場合として第８条第１項の経理責任者が認めた支払のときには、この限りでない。</w:t>
      </w:r>
    </w:p>
    <w:p w14:paraId="676BEC08"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324AE418"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（支払期日）</w:t>
      </w:r>
    </w:p>
    <w:p w14:paraId="7E1D49DA" w14:textId="77777777" w:rsidR="001B32EE"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Pr="00EE12DB">
        <w:rPr>
          <w:rFonts w:asciiTheme="minorEastAsia" w:hAnsiTheme="minorEastAsia" w:cs="MS-Mincho"/>
          <w:kern w:val="0"/>
          <w:szCs w:val="21"/>
        </w:rPr>
        <w:t>24</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金銭の支払は、毎月末とする。ただし、随時払の必要のあるもの及び定期払のものについては、この限りではない｡</w:t>
      </w:r>
    </w:p>
    <w:p w14:paraId="44A727EE"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5BB3B97D"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lastRenderedPageBreak/>
        <w:t>（領収証の徴収）</w:t>
      </w:r>
    </w:p>
    <w:p w14:paraId="18DFDD0F" w14:textId="77777777" w:rsidR="00E77DC0"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Pr="00EE12DB">
        <w:rPr>
          <w:rFonts w:asciiTheme="minorEastAsia" w:hAnsiTheme="minorEastAsia" w:cs="MS-Mincho"/>
          <w:kern w:val="0"/>
          <w:szCs w:val="21"/>
        </w:rPr>
        <w:t>25</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金銭の支払については、最終受取人の領収証を徴収しなければならない。ただし、領収証の徴収が困難な場合には、別に定める支払証明書をもってこれに代えることができる｡</w:t>
      </w:r>
      <w:r w:rsidRPr="00EE12DB">
        <w:rPr>
          <w:rFonts w:asciiTheme="minorEastAsia" w:hAnsiTheme="minorEastAsia" w:cs="MS-Mincho"/>
          <w:kern w:val="0"/>
          <w:szCs w:val="21"/>
        </w:rPr>
        <w:t xml:space="preserve"> </w:t>
      </w:r>
    </w:p>
    <w:p w14:paraId="5F304A76" w14:textId="77777777" w:rsidR="001B32EE"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２</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金融機関への振込の方法により支払を行うときは、取扱金融機関の振込金受取書をもって支払先の領収証に代えることができる｡</w:t>
      </w:r>
    </w:p>
    <w:p w14:paraId="5AA56BAE"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1720D1BF"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（預貯金証書等の保管）</w:t>
      </w:r>
    </w:p>
    <w:p w14:paraId="611B5690" w14:textId="77777777" w:rsidR="001B32EE"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Pr="00EE12DB">
        <w:rPr>
          <w:rFonts w:asciiTheme="minorEastAsia" w:hAnsiTheme="minorEastAsia" w:cs="MS-Mincho"/>
          <w:kern w:val="0"/>
          <w:szCs w:val="21"/>
        </w:rPr>
        <w:t>26</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預貯金証書又は預貯金通帳については、所定の金庫に保管し、又は金融機関等に保護預けをするものとする｡</w:t>
      </w:r>
    </w:p>
    <w:p w14:paraId="70D4CBC5"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2E9A2F44"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（金銭の過不足）</w:t>
      </w:r>
    </w:p>
    <w:p w14:paraId="6C14105A" w14:textId="77777777" w:rsidR="00E77DC0"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Pr="00EE12DB">
        <w:rPr>
          <w:rFonts w:asciiTheme="minorEastAsia" w:hAnsiTheme="minorEastAsia" w:cs="MS-Mincho"/>
          <w:kern w:val="0"/>
          <w:szCs w:val="21"/>
        </w:rPr>
        <w:t>27</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出納の事務を行う者は、預貯金の残高を証明できる書類によりその残高と帳簿残高との照合を行うとともに、</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金銭に過不足が生じたときは、遅滞なく第８条第１項の経理責任者に報告し、その指示を受けるものとする｡</w:t>
      </w:r>
    </w:p>
    <w:p w14:paraId="58C445EE" w14:textId="77777777" w:rsidR="001B32EE"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kern w:val="0"/>
          <w:szCs w:val="21"/>
        </w:rPr>
        <w:t xml:space="preserve"> </w:t>
      </w:r>
    </w:p>
    <w:p w14:paraId="7CBB9166"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第５章</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物品</w:t>
      </w:r>
    </w:p>
    <w:p w14:paraId="42C6035F"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（物品の定義）</w:t>
      </w:r>
    </w:p>
    <w:p w14:paraId="417C1D2B"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Pr="00EE12DB">
        <w:rPr>
          <w:rFonts w:asciiTheme="minorEastAsia" w:hAnsiTheme="minorEastAsia" w:cs="MS-Mincho"/>
          <w:kern w:val="0"/>
          <w:szCs w:val="21"/>
        </w:rPr>
        <w:t>28</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物品とは、消耗品並びに耐用年数１年以上の器具及び備品をいう。</w:t>
      </w:r>
    </w:p>
    <w:p w14:paraId="5177C34D"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7A8C4227"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（物品の購入）</w:t>
      </w:r>
    </w:p>
    <w:p w14:paraId="71D2C28F" w14:textId="77777777" w:rsidR="00CA789A"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Pr="00EE12DB">
        <w:rPr>
          <w:rFonts w:asciiTheme="minorEastAsia" w:hAnsiTheme="minorEastAsia" w:cs="MS-Mincho"/>
          <w:kern w:val="0"/>
          <w:szCs w:val="21"/>
        </w:rPr>
        <w:t>29</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前条の物品の購入については、稟議書に見積書を添付し、第８条第１項の経理責任者を経て、会長の決裁を受けなければならない。ただし、１件の購入金額が</w:t>
      </w:r>
      <w:r w:rsidRPr="00EE12DB">
        <w:rPr>
          <w:rFonts w:asciiTheme="minorEastAsia" w:hAnsiTheme="minorEastAsia" w:cs="MS-Mincho"/>
          <w:kern w:val="0"/>
          <w:szCs w:val="21"/>
        </w:rPr>
        <w:t xml:space="preserve">20 </w:t>
      </w:r>
      <w:r w:rsidRPr="00EE12DB">
        <w:rPr>
          <w:rFonts w:asciiTheme="minorEastAsia" w:hAnsiTheme="minorEastAsia" w:cs="MS-Mincho" w:hint="eastAsia"/>
          <w:kern w:val="0"/>
          <w:szCs w:val="21"/>
        </w:rPr>
        <w:t>万円未満のときは、事務局長の専決処理とすることができる｡</w:t>
      </w:r>
    </w:p>
    <w:p w14:paraId="3D7ED379" w14:textId="77777777" w:rsidR="00CA789A" w:rsidRPr="00EE12DB" w:rsidRDefault="00CA789A" w:rsidP="001B32EE">
      <w:pPr>
        <w:autoSpaceDE w:val="0"/>
        <w:autoSpaceDN w:val="0"/>
        <w:adjustRightInd w:val="0"/>
        <w:ind w:left="210" w:hangingChars="100" w:hanging="210"/>
        <w:jc w:val="left"/>
        <w:rPr>
          <w:rFonts w:asciiTheme="minorEastAsia" w:hAnsiTheme="minorEastAsia" w:cs="MS-Mincho"/>
          <w:kern w:val="0"/>
          <w:szCs w:val="21"/>
        </w:rPr>
      </w:pPr>
    </w:p>
    <w:p w14:paraId="4583959C"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（物品の照合）</w:t>
      </w:r>
    </w:p>
    <w:p w14:paraId="640F548A"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Pr="00EE12DB">
        <w:rPr>
          <w:rFonts w:asciiTheme="minorEastAsia" w:hAnsiTheme="minorEastAsia" w:cs="MS-Mincho"/>
          <w:kern w:val="0"/>
          <w:szCs w:val="21"/>
        </w:rPr>
        <w:t>30</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出納の事</w:t>
      </w:r>
      <w:r w:rsidR="00CA789A" w:rsidRPr="00EE12DB">
        <w:rPr>
          <w:rFonts w:asciiTheme="minorEastAsia" w:hAnsiTheme="minorEastAsia" w:cs="MS-Mincho" w:hint="eastAsia"/>
          <w:kern w:val="0"/>
          <w:szCs w:val="21"/>
        </w:rPr>
        <w:t>務を行う者は、耐用年数１年以上の器具及び備品について、備品台帳を</w:t>
      </w:r>
      <w:r w:rsidRPr="00EE12DB">
        <w:rPr>
          <w:rFonts w:asciiTheme="minorEastAsia" w:hAnsiTheme="minorEastAsia" w:cs="MS-Mincho" w:hint="eastAsia"/>
          <w:kern w:val="0"/>
          <w:szCs w:val="21"/>
        </w:rPr>
        <w:t>設けて保全状況及び移動について所要の記録を行うとともに、その移動又は滅失及びき損があった場合は、第８条第１項の経理責任者に通知しなければならない。</w:t>
      </w:r>
    </w:p>
    <w:p w14:paraId="3B2B2E4A" w14:textId="77777777" w:rsidR="00B224CD" w:rsidRPr="00EE12DB" w:rsidRDefault="00B224CD" w:rsidP="00CA789A">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２</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第８条第１項の経理責任者は、事業年度中に１回以上、現物照合し、差異がある場合は、所定の手続を経て、前項の備品台帳の整備を行わなければならない。</w:t>
      </w:r>
    </w:p>
    <w:p w14:paraId="029BA5E7"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28383A4E"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（規定の準用）</w:t>
      </w:r>
    </w:p>
    <w:p w14:paraId="10217C56"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Pr="00EE12DB">
        <w:rPr>
          <w:rFonts w:asciiTheme="minorEastAsia" w:hAnsiTheme="minorEastAsia" w:cs="MS-Mincho"/>
          <w:kern w:val="0"/>
          <w:szCs w:val="21"/>
        </w:rPr>
        <w:t>31</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再生委員会の運営に必要な経費であって、会議費等軽微なものの支出については、第</w:t>
      </w:r>
      <w:r w:rsidRPr="00EE12DB">
        <w:rPr>
          <w:rFonts w:asciiTheme="minorEastAsia" w:hAnsiTheme="minorEastAsia" w:cs="MS-Mincho"/>
          <w:kern w:val="0"/>
          <w:szCs w:val="21"/>
        </w:rPr>
        <w:t>29</w:t>
      </w:r>
      <w:r w:rsidRPr="00EE12DB">
        <w:rPr>
          <w:rFonts w:asciiTheme="minorEastAsia" w:hAnsiTheme="minorEastAsia" w:cs="MS-Mincho" w:hint="eastAsia"/>
          <w:kern w:val="0"/>
          <w:szCs w:val="21"/>
        </w:rPr>
        <w:t>条の規定を準用する。</w:t>
      </w:r>
    </w:p>
    <w:p w14:paraId="6FABA9FC"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27A511F9"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lastRenderedPageBreak/>
        <w:t>第６章</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決算</w:t>
      </w:r>
    </w:p>
    <w:p w14:paraId="02AF46D1"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（決算の目的）</w:t>
      </w:r>
    </w:p>
    <w:p w14:paraId="193C6CBC"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Pr="00EE12DB">
        <w:rPr>
          <w:rFonts w:asciiTheme="minorEastAsia" w:hAnsiTheme="minorEastAsia" w:cs="MS-Mincho"/>
          <w:kern w:val="0"/>
          <w:szCs w:val="21"/>
        </w:rPr>
        <w:t>32</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決算は、一定期間の会計記録を整理し、当該期間の収支を計算するとともに、当該期末の財政状態を明らかにすることを目的とする。</w:t>
      </w:r>
    </w:p>
    <w:p w14:paraId="3E24339A"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0DDC7A7B"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（決算の種類）</w:t>
      </w:r>
    </w:p>
    <w:p w14:paraId="5E538ADC" w14:textId="77777777" w:rsidR="001B32EE"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Pr="00EE12DB">
        <w:rPr>
          <w:rFonts w:asciiTheme="minorEastAsia" w:hAnsiTheme="minorEastAsia" w:cs="MS-Mincho"/>
          <w:kern w:val="0"/>
          <w:szCs w:val="21"/>
        </w:rPr>
        <w:t>33</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決算は、毎半期末の半期決算と毎年３月末の年度決算に区分する｡</w:t>
      </w:r>
      <w:r w:rsidRPr="00EE12DB">
        <w:rPr>
          <w:rFonts w:asciiTheme="minorEastAsia" w:hAnsiTheme="minorEastAsia" w:cs="MS-Mincho"/>
          <w:kern w:val="0"/>
          <w:szCs w:val="21"/>
        </w:rPr>
        <w:t xml:space="preserve"> </w:t>
      </w:r>
    </w:p>
    <w:p w14:paraId="46031361"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（半期決算）</w:t>
      </w:r>
    </w:p>
    <w:p w14:paraId="7F0B5AEF"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Pr="00EE12DB">
        <w:rPr>
          <w:rFonts w:asciiTheme="minorEastAsia" w:hAnsiTheme="minorEastAsia" w:cs="MS-Mincho"/>
          <w:kern w:val="0"/>
          <w:szCs w:val="21"/>
        </w:rPr>
        <w:t>34</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第８条第１項の経理責任者は、毎半期末に会計記録を整理し、次の各号に掲げる計算書類を作成して翌月の</w:t>
      </w:r>
      <w:r w:rsidRPr="00EE12DB">
        <w:rPr>
          <w:rFonts w:asciiTheme="minorEastAsia" w:hAnsiTheme="minorEastAsia" w:cs="MS-Mincho"/>
          <w:kern w:val="0"/>
          <w:szCs w:val="21"/>
        </w:rPr>
        <w:t xml:space="preserve">15 </w:t>
      </w:r>
      <w:r w:rsidRPr="00EE12DB">
        <w:rPr>
          <w:rFonts w:asciiTheme="minorEastAsia" w:hAnsiTheme="minorEastAsia" w:cs="MS-Mincho" w:hint="eastAsia"/>
          <w:kern w:val="0"/>
          <w:szCs w:val="21"/>
        </w:rPr>
        <w:t>日までに事務局長を経て会長に報告しなければならない｡</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一</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合計残高試算表</w:t>
      </w:r>
    </w:p>
    <w:p w14:paraId="71AC75D6"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二</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予算対比収支計算書</w:t>
      </w:r>
    </w:p>
    <w:p w14:paraId="00318C0E"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07D6AB90"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（財務諸表の作成）</w:t>
      </w:r>
    </w:p>
    <w:p w14:paraId="518068D0" w14:textId="77777777" w:rsidR="00E82F5F"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Pr="00EE12DB">
        <w:rPr>
          <w:rFonts w:asciiTheme="minorEastAsia" w:hAnsiTheme="minorEastAsia" w:cs="MS-Mincho"/>
          <w:kern w:val="0"/>
          <w:szCs w:val="21"/>
        </w:rPr>
        <w:t>35</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第８条第１項の経理責任者は、事業年度終了後速やかに年度決算に必要な整理を行い、次の各号に掲げる計算書類を作成し、会長に報告しなければならない｡</w:t>
      </w:r>
      <w:r w:rsidRPr="00EE12DB">
        <w:rPr>
          <w:rFonts w:asciiTheme="minorEastAsia" w:hAnsiTheme="minorEastAsia" w:cs="MS-Mincho"/>
          <w:kern w:val="0"/>
          <w:szCs w:val="21"/>
        </w:rPr>
        <w:t xml:space="preserve"> </w:t>
      </w:r>
    </w:p>
    <w:p w14:paraId="4641CFF1"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一</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収支計算書</w:t>
      </w:r>
    </w:p>
    <w:p w14:paraId="65D319AE"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二</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正味財産増減計算書</w:t>
      </w:r>
    </w:p>
    <w:p w14:paraId="6E8D0CD6"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三</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貸借対照表</w:t>
      </w:r>
    </w:p>
    <w:p w14:paraId="34326BC6"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四</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財産目録</w:t>
      </w:r>
    </w:p>
    <w:p w14:paraId="0D5D527D"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50324ACB"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（年度決算の確定）</w:t>
      </w:r>
    </w:p>
    <w:p w14:paraId="346C2F3B" w14:textId="77777777" w:rsidR="00E82F5F"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Pr="00EE12DB">
        <w:rPr>
          <w:rFonts w:asciiTheme="minorEastAsia" w:hAnsiTheme="minorEastAsia" w:cs="MS-Mincho"/>
          <w:kern w:val="0"/>
          <w:szCs w:val="21"/>
        </w:rPr>
        <w:t>36</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会長は前条の計算書類に基づいて監事の監査を受けた後、当該計算書類に監事の意見書を添えて会員会議に提出し、その承認を受けて年度決算を確定する｡</w:t>
      </w:r>
      <w:r w:rsidRPr="00EE12DB">
        <w:rPr>
          <w:rFonts w:asciiTheme="minorEastAsia" w:hAnsiTheme="minorEastAsia" w:cs="MS-Mincho"/>
          <w:kern w:val="0"/>
          <w:szCs w:val="21"/>
        </w:rPr>
        <w:t xml:space="preserve"> </w:t>
      </w:r>
    </w:p>
    <w:p w14:paraId="355CA9F9"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3EF1907F"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第７章</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雑則</w:t>
      </w:r>
    </w:p>
    <w:p w14:paraId="54412636" w14:textId="7283C662" w:rsidR="00E82F5F"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Pr="00EE12DB">
        <w:rPr>
          <w:rFonts w:asciiTheme="minorEastAsia" w:hAnsiTheme="minorEastAsia" w:cs="MS-Mincho"/>
          <w:kern w:val="0"/>
          <w:szCs w:val="21"/>
        </w:rPr>
        <w:t>38</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実施要綱、実施要領、交付要綱、</w:t>
      </w:r>
      <w:r w:rsidR="00F1282F">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委員会規約及びこの規程に定めるもののほか、この規程の実施に関し必要な事項は、担当者会の承認を得た後、会長が定める｡</w:t>
      </w:r>
    </w:p>
    <w:p w14:paraId="6263C9CB"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附</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則</w:t>
      </w:r>
    </w:p>
    <w:p w14:paraId="29416B55" w14:textId="77777777" w:rsidR="00CA789A"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この規程は、</w:t>
      </w:r>
      <w:r w:rsidR="001B32EE" w:rsidRPr="00EE12DB">
        <w:rPr>
          <w:rFonts w:asciiTheme="minorEastAsia" w:hAnsiTheme="minorEastAsia" w:cs="MS-Mincho" w:hint="eastAsia"/>
          <w:kern w:val="0"/>
          <w:szCs w:val="21"/>
        </w:rPr>
        <w:t>（元号）</w:t>
      </w:r>
      <w:r w:rsidRPr="00EE12DB">
        <w:rPr>
          <w:rFonts w:asciiTheme="minorEastAsia" w:hAnsiTheme="minorEastAsia" w:cs="MS-Mincho" w:hint="eastAsia"/>
          <w:kern w:val="0"/>
          <w:szCs w:val="21"/>
        </w:rPr>
        <w:t>○○年○月○日から施行する｡</w:t>
      </w:r>
    </w:p>
    <w:p w14:paraId="4DBF55A6" w14:textId="05CF6A82" w:rsidR="00CA789A" w:rsidRDefault="00CA789A" w:rsidP="00B224CD">
      <w:pPr>
        <w:autoSpaceDE w:val="0"/>
        <w:autoSpaceDN w:val="0"/>
        <w:adjustRightInd w:val="0"/>
        <w:jc w:val="left"/>
        <w:rPr>
          <w:rFonts w:asciiTheme="minorEastAsia" w:hAnsiTheme="minorEastAsia" w:cs="MS-Mincho"/>
          <w:kern w:val="0"/>
          <w:szCs w:val="21"/>
        </w:rPr>
      </w:pPr>
    </w:p>
    <w:p w14:paraId="0135AF3F" w14:textId="20229AAF" w:rsidR="004831AA" w:rsidRDefault="004831AA" w:rsidP="00B224CD">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附則</w:t>
      </w:r>
    </w:p>
    <w:p w14:paraId="6A94F873" w14:textId="01939D29" w:rsidR="004831AA" w:rsidRPr="00EE12DB" w:rsidRDefault="004831AA" w:rsidP="00B224CD">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この改正は、</w:t>
      </w:r>
      <w:r w:rsidR="002E1ADA" w:rsidRPr="00EE12DB">
        <w:rPr>
          <w:rFonts w:asciiTheme="minorEastAsia" w:hAnsiTheme="minorEastAsia" w:cs="MS-Mincho" w:hint="eastAsia"/>
          <w:kern w:val="0"/>
          <w:szCs w:val="21"/>
        </w:rPr>
        <w:t>（</w:t>
      </w:r>
      <w:r w:rsidRPr="00EE12DB">
        <w:rPr>
          <w:rFonts w:asciiTheme="minorEastAsia" w:hAnsiTheme="minorEastAsia" w:cs="MS-Mincho" w:hint="eastAsia"/>
          <w:kern w:val="0"/>
          <w:szCs w:val="21"/>
        </w:rPr>
        <w:t>元号）○○年○月○日から施行する｡</w:t>
      </w:r>
    </w:p>
    <w:sectPr w:rsidR="004831AA" w:rsidRPr="00EE12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73465" w14:textId="77777777" w:rsidR="0095626F" w:rsidRDefault="0095626F" w:rsidP="001B32EE">
      <w:r>
        <w:separator/>
      </w:r>
    </w:p>
  </w:endnote>
  <w:endnote w:type="continuationSeparator" w:id="0">
    <w:p w14:paraId="25C3826A" w14:textId="77777777" w:rsidR="0095626F" w:rsidRDefault="0095626F" w:rsidP="001B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59CDE" w14:textId="77777777" w:rsidR="0095626F" w:rsidRDefault="0095626F" w:rsidP="001B32EE">
      <w:r>
        <w:separator/>
      </w:r>
    </w:p>
  </w:footnote>
  <w:footnote w:type="continuationSeparator" w:id="0">
    <w:p w14:paraId="11F4316A" w14:textId="77777777" w:rsidR="0095626F" w:rsidRDefault="0095626F" w:rsidP="001B3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4CD"/>
    <w:rsid w:val="000C0BA4"/>
    <w:rsid w:val="001B32EE"/>
    <w:rsid w:val="001D1D4A"/>
    <w:rsid w:val="001F5BA8"/>
    <w:rsid w:val="002505F9"/>
    <w:rsid w:val="002E1ADA"/>
    <w:rsid w:val="002F2DBB"/>
    <w:rsid w:val="003854B7"/>
    <w:rsid w:val="004831AA"/>
    <w:rsid w:val="0063157A"/>
    <w:rsid w:val="006D4C9A"/>
    <w:rsid w:val="007A00C1"/>
    <w:rsid w:val="0095626F"/>
    <w:rsid w:val="009B1232"/>
    <w:rsid w:val="00B224CD"/>
    <w:rsid w:val="00CA5E80"/>
    <w:rsid w:val="00CA789A"/>
    <w:rsid w:val="00D03669"/>
    <w:rsid w:val="00D33B06"/>
    <w:rsid w:val="00D832FC"/>
    <w:rsid w:val="00D914EA"/>
    <w:rsid w:val="00E77DC0"/>
    <w:rsid w:val="00E82F5F"/>
    <w:rsid w:val="00EE12DB"/>
    <w:rsid w:val="00F12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2090B27"/>
  <w15:chartTrackingRefBased/>
  <w15:docId w15:val="{E73FC434-177A-4099-86CF-9BA5CA3A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8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2EE"/>
    <w:pPr>
      <w:tabs>
        <w:tab w:val="center" w:pos="4252"/>
        <w:tab w:val="right" w:pos="8504"/>
      </w:tabs>
      <w:snapToGrid w:val="0"/>
    </w:pPr>
  </w:style>
  <w:style w:type="character" w:customStyle="1" w:styleId="a4">
    <w:name w:val="ヘッダー (文字)"/>
    <w:basedOn w:val="a0"/>
    <w:link w:val="a3"/>
    <w:uiPriority w:val="99"/>
    <w:rsid w:val="001B32EE"/>
  </w:style>
  <w:style w:type="paragraph" w:styleId="a5">
    <w:name w:val="footer"/>
    <w:basedOn w:val="a"/>
    <w:link w:val="a6"/>
    <w:uiPriority w:val="99"/>
    <w:unhideWhenUsed/>
    <w:rsid w:val="001B32EE"/>
    <w:pPr>
      <w:tabs>
        <w:tab w:val="center" w:pos="4252"/>
        <w:tab w:val="right" w:pos="8504"/>
      </w:tabs>
      <w:snapToGrid w:val="0"/>
    </w:pPr>
  </w:style>
  <w:style w:type="character" w:customStyle="1" w:styleId="a6">
    <w:name w:val="フッター (文字)"/>
    <w:basedOn w:val="a0"/>
    <w:link w:val="a5"/>
    <w:uiPriority w:val="99"/>
    <w:rsid w:val="001B32EE"/>
  </w:style>
  <w:style w:type="paragraph" w:styleId="a7">
    <w:name w:val="Balloon Text"/>
    <w:basedOn w:val="a"/>
    <w:link w:val="a8"/>
    <w:uiPriority w:val="99"/>
    <w:semiHidden/>
    <w:unhideWhenUsed/>
    <w:rsid w:val="002505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05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615</Words>
  <Characters>3512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k60547e</cp:lastModifiedBy>
  <cp:revision>12</cp:revision>
  <cp:lastPrinted>2018-12-25T09:52:00Z</cp:lastPrinted>
  <dcterms:created xsi:type="dcterms:W3CDTF">2019-03-18T09:44:00Z</dcterms:created>
  <dcterms:modified xsi:type="dcterms:W3CDTF">2023-10-20T01:53:00Z</dcterms:modified>
</cp:coreProperties>
</file>